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caps/>
          <w:color w:val="888888"/>
          <w:sz w:val="18"/>
          <w:szCs w:val="18"/>
        </w:rPr>
        <w:t xml:space="preserve">CA INTER MAY 2026 — AMENDMENT GUIDE</w:t>
      </w:r>
    </w:p>
    <w:p>
      <w:pPr>
        <w:spacing w:after="60"/>
        <w:jc w:val="center"/>
      </w:pPr>
      <w:r>
        <w:rPr>
          <w:rFonts w:ascii="Arial" w:cs="Arial" w:eastAsia="Arial" w:hAnsi="Arial"/>
          <w:b/>
          <w:bCs/>
          <w:color w:val="111111"/>
          <w:sz w:val="44"/>
          <w:szCs w:val="44"/>
        </w:rPr>
        <w:t xml:space="preserve">What's New for May 2026:</w:t>
      </w:r>
    </w:p>
    <w:p>
      <w:pPr>
        <w:spacing w:after="80"/>
        <w:jc w:val="center"/>
      </w:pPr>
      <w:r>
        <w:rPr>
          <w:rFonts w:ascii="Arial" w:cs="Arial" w:eastAsia="Arial" w:hAnsi="Arial"/>
          <w:b/>
          <w:bCs/>
          <w:color w:val="1A56A0"/>
          <w:sz w:val="38"/>
          <w:szCs w:val="38"/>
        </w:rPr>
        <w:t xml:space="preserve">Corporate &amp; Other Laws, Taxation &amp; Financial Management</w:t>
      </w:r>
    </w:p>
    <w:p>
      <w:pPr>
        <w:spacing w:after="60"/>
        <w:jc w:val="center"/>
      </w:pPr>
      <w:r>
        <w:rPr>
          <w:rFonts w:ascii="Arial" w:cs="Arial" w:eastAsia="Arial" w:hAnsi="Arial"/>
          <w:color w:val="888888"/>
          <w:sz w:val="18"/>
          <w:szCs w:val="18"/>
        </w:rPr>
        <w:t xml:space="preserve">By CA Exam Insights  |  March 23, 2026  |  CA Intermediate</w:t>
      </w:r>
    </w:p>
    <w:p>
      <w:pPr>
        <w:pBdr>
          <w:bottom w:val="single" w:color="1A56A0" w:sz="8" w:space="1"/>
        </w:pBdr>
        <w:spacing w:after="240"/>
      </w:pPr>
      <w:r>
        <w:t xml:space="preserve"/>
      </w:r>
    </w:p>
    <w:p>
      <w:pPr>
        <w:spacing w:after="140" w:line="320"/>
        <w:jc w:val="both"/>
      </w:pPr>
      <w:r>
        <w:rPr>
          <w:rFonts w:ascii="Arial" w:cs="Arial" w:eastAsia="Arial" w:hAnsi="Arial"/>
          <w:color w:val="222222"/>
          <w:sz w:val="22"/>
          <w:szCs w:val="22"/>
        </w:rPr>
        <w:t xml:space="preserve">With the CA Intermediate May 2026 examinations fast approaching, ICAI has rolled out a set of significant amendments that every student must account for in their preparation. While subjects like Advanced Accounting, Costing, and Auditing &amp; Ethics remain relatively stable, three papers stand out this season for the volume and relevance of their changes:</w:t>
      </w:r>
    </w:p>
    <w:p>
      <w:pPr>
        <w:spacing w:after="120"/>
      </w:pPr>
      <w:r>
        <w:t xml:space="preserve"/>
      </w:r>
    </w:p>
    <w:p>
      <w:pPr>
        <w:pStyle w:val="ListParagraph"/>
        <w:numPr>
          <w:ilvl w:val="0"/>
          <w:numId w:val="2"/>
        </w:numPr>
        <w:spacing w:after="80" w:line="300"/>
      </w:pPr>
      <w:r>
        <w:rPr>
          <w:rFonts w:ascii="Arial" w:cs="Arial" w:eastAsia="Arial" w:hAnsi="Arial"/>
          <w:b w:val="false"/>
          <w:bCs w:val="false"/>
          <w:color w:val="222222"/>
          <w:sz w:val="22"/>
          <w:szCs w:val="22"/>
        </w:rPr>
        <w:t xml:space="preserve">Paper 2 — Corporate &amp; Other Laws</w:t>
      </w:r>
    </w:p>
    <w:p>
      <w:pPr>
        <w:pStyle w:val="ListParagraph"/>
        <w:numPr>
          <w:ilvl w:val="0"/>
          <w:numId w:val="2"/>
        </w:numPr>
        <w:spacing w:after="80" w:line="300"/>
      </w:pPr>
      <w:r>
        <w:rPr>
          <w:rFonts w:ascii="Arial" w:cs="Arial" w:eastAsia="Arial" w:hAnsi="Arial"/>
          <w:b w:val="false"/>
          <w:bCs w:val="false"/>
          <w:color w:val="222222"/>
          <w:sz w:val="22"/>
          <w:szCs w:val="22"/>
        </w:rPr>
        <w:t xml:space="preserve">Paper 3 — Taxation (Direct Tax &amp; GST)</w:t>
      </w:r>
    </w:p>
    <w:p>
      <w:pPr>
        <w:pStyle w:val="ListParagraph"/>
        <w:numPr>
          <w:ilvl w:val="0"/>
          <w:numId w:val="2"/>
        </w:numPr>
        <w:spacing w:after="80" w:line="300"/>
      </w:pPr>
      <w:r>
        <w:rPr>
          <w:rFonts w:ascii="Arial" w:cs="Arial" w:eastAsia="Arial" w:hAnsi="Arial"/>
          <w:b w:val="false"/>
          <w:bCs w:val="false"/>
          <w:color w:val="222222"/>
          <w:sz w:val="22"/>
          <w:szCs w:val="22"/>
        </w:rPr>
        <w:t xml:space="preserve">Paper 6 — Financial Management &amp; Strategic Management</w:t>
      </w:r>
    </w:p>
    <w:p>
      <w:pPr>
        <w:spacing w:after="120"/>
      </w:pPr>
      <w:r>
        <w:t xml:space="preserve"/>
      </w:r>
    </w:p>
    <w:p>
      <w:pPr>
        <w:spacing w:after="140" w:line="320"/>
        <w:jc w:val="both"/>
      </w:pPr>
      <w:r>
        <w:rPr>
          <w:rFonts w:ascii="Arial" w:cs="Arial" w:eastAsia="Arial" w:hAnsi="Arial"/>
          <w:color w:val="222222"/>
          <w:sz w:val="22"/>
          <w:szCs w:val="22"/>
        </w:rPr>
        <w:t xml:space="preserve">This article gives you a structured breakdown of what has changed, why it matters, and how to approach these updates strategically before exam day.</w:t>
      </w:r>
    </w:p>
    <w:p>
      <w:pPr>
        <w:spacing w:after="120"/>
      </w:pPr>
      <w:r>
        <w:t xml:space="preserve"/>
      </w:r>
    </w:p>
    <w:p>
      <w:pPr>
        <w:pStyle w:val="Heading2"/>
        <w:pBdr>
          <w:bottom w:val="single" w:color="1A56A0" w:sz="6" w:space="1"/>
        </w:pBdr>
        <w:spacing w:before="280" w:after="100"/>
      </w:pPr>
      <w:r>
        <w:rPr>
          <w:rFonts w:ascii="Arial" w:cs="Arial" w:eastAsia="Arial" w:hAnsi="Arial"/>
          <w:b/>
          <w:bCs/>
          <w:color w:val="1A56A0"/>
          <w:sz w:val="28"/>
          <w:szCs w:val="28"/>
        </w:rPr>
        <w:t xml:space="preserve">📘 Paper 2: Corporate &amp; Other Laws</w:t>
      </w:r>
    </w:p>
    <w:p>
      <w:pPr>
        <w:spacing w:after="140" w:line="320"/>
        <w:jc w:val="both"/>
      </w:pPr>
      <w:r>
        <w:rPr>
          <w:rFonts w:ascii="Arial" w:cs="Arial" w:eastAsia="Arial" w:hAnsi="Arial"/>
          <w:color w:val="222222"/>
          <w:sz w:val="22"/>
          <w:szCs w:val="22"/>
        </w:rPr>
        <w:t xml:space="preserve">Corporate and Other Laws is one of the most amendment-heavy papers in CA Intermediate, given that legislation — particularly the Companies Act, 2013 — undergoes frequent revisions through Ministry of Corporate Affairs (MCA) notifications.</w:t>
      </w:r>
    </w:p>
    <w:p>
      <w:pPr>
        <w:spacing w:after="120"/>
      </w:pPr>
      <w:r>
        <w:t xml:space="preserve"/>
      </w:r>
    </w:p>
    <w:p>
      <w:pPr>
        <w:spacing w:before="200" w:after="80"/>
      </w:pPr>
      <w:r>
        <w:rPr>
          <w:rFonts w:ascii="Arial" w:cs="Arial" w:eastAsia="Arial" w:hAnsi="Arial"/>
          <w:b/>
          <w:bCs/>
          <w:color w:val="333333"/>
          <w:sz w:val="24"/>
          <w:szCs w:val="24"/>
        </w:rPr>
        <w:t xml:space="preserve">🔑 Key Amendments for May 2026</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1A56A0" w:sz="2"/>
              <w:left w:val="single" w:color="1A56A0" w:sz="2"/>
              <w:bottom w:val="single" w:color="1A56A0" w:sz="2"/>
              <w:right w:val="single" w:color="1A56A0" w:sz="2"/>
            </w:tcBorders>
            <w:shd w:fill="D6E4F7" w:val="clear"/>
            <w:tcMar>
              <w:top w:type="dxa" w:w="120"/>
              <w:left w:type="dxa" w:w="180"/>
              <w:bottom w:type="dxa" w:w="120"/>
              <w:right w:type="dxa" w:w="180"/>
            </w:tcMar>
          </w:tcPr>
          <w:p>
            <w:pPr>
              <w:spacing w:after="80"/>
            </w:pPr>
            <w:r>
              <w:rPr>
                <w:rFonts w:ascii="Arial" w:cs="Arial" w:eastAsia="Arial" w:hAnsi="Arial"/>
                <w:b/>
                <w:bCs/>
                <w:color w:val="1A56A0"/>
                <w:sz w:val="22"/>
                <w:szCs w:val="22"/>
              </w:rPr>
              <w:t xml:space="preserve">Small Company Thresholds Revised</w:t>
            </w:r>
          </w:p>
          <w:p>
            <w:pPr>
              <w:spacing w:after="0"/>
            </w:pPr>
            <w:r>
              <w:rPr>
                <w:rFonts w:ascii="Arial" w:cs="Arial" w:eastAsia="Arial" w:hAnsi="Arial"/>
                <w:color w:val="333333"/>
                <w:sz w:val="22"/>
                <w:szCs w:val="22"/>
              </w:rPr>
              <w:t xml:space="preserve">The definition of a 'Small Company' under Section 2(85) of the Companies Act, 2013 has been updated. The paid-up share capital limit is now up to ₹4 crore (extendable up to ₹10 crore by prescription), and the turnover threshold has been raised to ₹40 crore (extendable up to ₹100 crore). This is important for understanding compliance exemptions available to small companies.</w:t>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1A56A0" w:sz="2"/>
              <w:left w:val="single" w:color="1A56A0" w:sz="2"/>
              <w:bottom w:val="single" w:color="1A56A0" w:sz="2"/>
              <w:right w:val="single" w:color="1A56A0" w:sz="2"/>
            </w:tcBorders>
            <w:shd w:fill="D6E4F7" w:val="clear"/>
            <w:tcMar>
              <w:top w:type="dxa" w:w="120"/>
              <w:left w:type="dxa" w:w="180"/>
              <w:bottom w:type="dxa" w:w="120"/>
              <w:right w:type="dxa" w:w="180"/>
            </w:tcMar>
          </w:tcPr>
          <w:p>
            <w:pPr>
              <w:spacing w:after="80"/>
            </w:pPr>
            <w:r>
              <w:rPr>
                <w:rFonts w:ascii="Arial" w:cs="Arial" w:eastAsia="Arial" w:hAnsi="Arial"/>
                <w:b/>
                <w:bCs/>
                <w:color w:val="1A56A0"/>
                <w:sz w:val="22"/>
                <w:szCs w:val="22"/>
              </w:rPr>
              <w:t xml:space="preserve">Producer Companies — Revised Framework</w:t>
            </w:r>
          </w:p>
          <w:p>
            <w:pPr>
              <w:spacing w:after="0"/>
            </w:pPr>
            <w:r>
              <w:rPr>
                <w:rFonts w:ascii="Arial" w:cs="Arial" w:eastAsia="Arial" w:hAnsi="Arial"/>
                <w:color w:val="333333"/>
                <w:sz w:val="22"/>
                <w:szCs w:val="22"/>
              </w:rPr>
              <w:t xml:space="preserve">Amendments to the framework governing Producer Companies now affect their governance structure, member limits, and borrowing powers. Students must revisit this chapter with particular attention to updated provisions.</w:t>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1A56A0" w:sz="2"/>
              <w:left w:val="single" w:color="1A56A0" w:sz="2"/>
              <w:bottom w:val="single" w:color="1A56A0" w:sz="2"/>
              <w:right w:val="single" w:color="1A56A0" w:sz="2"/>
            </w:tcBorders>
            <w:shd w:fill="D6E4F7" w:val="clear"/>
            <w:tcMar>
              <w:top w:type="dxa" w:w="120"/>
              <w:left w:type="dxa" w:w="180"/>
              <w:bottom w:type="dxa" w:w="120"/>
              <w:right w:type="dxa" w:w="180"/>
            </w:tcMar>
          </w:tcPr>
          <w:p>
            <w:pPr>
              <w:spacing w:after="80"/>
            </w:pPr>
            <w:r>
              <w:rPr>
                <w:rFonts w:ascii="Arial" w:cs="Arial" w:eastAsia="Arial" w:hAnsi="Arial"/>
                <w:b/>
                <w:bCs/>
                <w:color w:val="1A56A0"/>
                <w:sz w:val="22"/>
                <w:szCs w:val="22"/>
              </w:rPr>
              <w:t xml:space="preserve">LLP &amp; Other Business Laws</w:t>
            </w:r>
          </w:p>
          <w:p>
            <w:pPr>
              <w:spacing w:after="0"/>
            </w:pPr>
            <w:r>
              <w:rPr>
                <w:rFonts w:ascii="Arial" w:cs="Arial" w:eastAsia="Arial" w:hAnsi="Arial"/>
                <w:color w:val="333333"/>
                <w:sz w:val="22"/>
                <w:szCs w:val="22"/>
              </w:rPr>
              <w:t xml:space="preserve">Changes in the Limited Liability Partnership Act and related rules have been incorporated into the syllabus. The practical, case-study-based approach introduced in the new ICAI scheme means that students should focus on application-level understanding rather than rote memorisation.</w:t>
            </w:r>
          </w:p>
        </w:tc>
      </w:tr>
    </w:tbl>
    <w:p>
      <w:pPr>
        <w:spacing w:after="120"/>
      </w:pPr>
      <w:r>
        <w:t xml:space="preserve"/>
      </w:r>
    </w:p>
    <w:p>
      <w:pPr>
        <w:spacing w:before="200" w:after="80"/>
      </w:pPr>
      <w:r>
        <w:rPr>
          <w:rFonts w:ascii="Arial" w:cs="Arial" w:eastAsia="Arial" w:hAnsi="Arial"/>
          <w:b/>
          <w:bCs/>
          <w:color w:val="333333"/>
          <w:sz w:val="24"/>
          <w:szCs w:val="24"/>
        </w:rPr>
        <w:t xml:space="preserve">💡 Preparation Tip</w:t>
      </w:r>
    </w:p>
    <w:p>
      <w:pPr>
        <w:spacing w:after="140" w:line="320"/>
        <w:jc w:val="both"/>
      </w:pPr>
      <w:r>
        <w:rPr>
          <w:rFonts w:ascii="Arial" w:cs="Arial" w:eastAsia="Arial" w:hAnsi="Arial"/>
          <w:color w:val="222222"/>
          <w:sz w:val="22"/>
          <w:szCs w:val="22"/>
        </w:rPr>
        <w:t xml:space="preserve">Focus on MCA circulars and notifications issued in the last 12 months. RTPs and MTPs released by ICAI's Board of Studies will directly reflect which provisions are exam-ready. Always cross-check any coaching institute notes with the official ICAI amendment booklet.</w:t>
      </w:r>
    </w:p>
    <w:p>
      <w:pPr>
        <w:spacing w:after="120"/>
      </w:pPr>
      <w:r>
        <w:t xml:space="preserve"/>
      </w:r>
    </w:p>
    <w:p>
      <w:pPr>
        <w:pStyle w:val="Heading2"/>
        <w:pBdr>
          <w:bottom w:val="single" w:color="1A56A0" w:sz="6" w:space="1"/>
        </w:pBdr>
        <w:spacing w:before="280" w:after="100"/>
      </w:pPr>
      <w:r>
        <w:rPr>
          <w:rFonts w:ascii="Arial" w:cs="Arial" w:eastAsia="Arial" w:hAnsi="Arial"/>
          <w:b/>
          <w:bCs/>
          <w:color w:val="1A56A0"/>
          <w:sz w:val="28"/>
          <w:szCs w:val="28"/>
        </w:rPr>
        <w:t xml:space="preserve">📗 Paper 3: Taxation (Income Tax + GST)</w:t>
      </w:r>
    </w:p>
    <w:p>
      <w:pPr>
        <w:spacing w:after="140" w:line="320"/>
        <w:jc w:val="both"/>
      </w:pPr>
      <w:r>
        <w:rPr>
          <w:rFonts w:ascii="Arial" w:cs="Arial" w:eastAsia="Arial" w:hAnsi="Arial"/>
          <w:color w:val="222222"/>
          <w:sz w:val="22"/>
          <w:szCs w:val="22"/>
        </w:rPr>
        <w:t xml:space="preserve">Taxation carries the highest amendment load for May 2026, driven by two major changes: the new Income Tax Act, 2025 (replacing the 1961 Act effective April 1, 2026) and several GST circulars and notifications issued during 2024–25. There are approximately 27 significant amendments applicable to this paper for the May 2026 attempt.</w:t>
      </w:r>
    </w:p>
    <w:p>
      <w:pPr>
        <w:spacing w:after="120"/>
      </w:pPr>
      <w:r>
        <w:t xml:space="preserve"/>
      </w:r>
    </w:p>
    <w:p>
      <w:pPr>
        <w:spacing w:before="200" w:after="80"/>
      </w:pPr>
      <w:r>
        <w:rPr>
          <w:rFonts w:ascii="Arial" w:cs="Arial" w:eastAsia="Arial" w:hAnsi="Arial"/>
          <w:b/>
          <w:bCs/>
          <w:color w:val="333333"/>
          <w:sz w:val="24"/>
          <w:szCs w:val="24"/>
        </w:rPr>
        <w:t xml:space="preserve">Section A — Income Tax (Direct Taxes)</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1A56A0" w:sz="2"/>
              <w:left w:val="single" w:color="1A56A0" w:sz="2"/>
              <w:bottom w:val="single" w:color="1A56A0" w:sz="2"/>
              <w:right w:val="single" w:color="1A56A0" w:sz="2"/>
            </w:tcBorders>
            <w:shd w:fill="DFF5E1" w:val="clear"/>
            <w:tcMar>
              <w:top w:type="dxa" w:w="120"/>
              <w:left w:type="dxa" w:w="180"/>
              <w:bottom w:type="dxa" w:w="120"/>
              <w:right w:type="dxa" w:w="180"/>
            </w:tcMar>
          </w:tcPr>
          <w:p>
            <w:pPr>
              <w:spacing w:after="80"/>
            </w:pPr>
            <w:r>
              <w:rPr>
                <w:rFonts w:ascii="Arial" w:cs="Arial" w:eastAsia="Arial" w:hAnsi="Arial"/>
                <w:b/>
                <w:bCs/>
                <w:color w:val="1A56A0"/>
                <w:sz w:val="22"/>
                <w:szCs w:val="22"/>
              </w:rPr>
              <w:t xml:space="preserve">New Income Tax Act, 2025 — The Big Shift</w:t>
            </w:r>
          </w:p>
          <w:p>
            <w:pPr>
              <w:spacing w:after="0"/>
            </w:pPr>
            <w:r>
              <w:rPr>
                <w:rFonts w:ascii="Arial" w:cs="Arial" w:eastAsia="Arial" w:hAnsi="Arial"/>
                <w:color w:val="333333"/>
                <w:sz w:val="22"/>
                <w:szCs w:val="22"/>
              </w:rPr>
              <w:t xml:space="preserve">The Income Tax Act, 2025 replaces the Income Tax Act, 1961, effective April 1, 2026. While the core principles remain, the structure, section numbering, and language have been significantly modernised. Students must familiarise themselves with the new section references and any structural changes in computation, deductions, and procedural rules.</w:t>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1A56A0" w:sz="2"/>
              <w:left w:val="single" w:color="1A56A0" w:sz="2"/>
              <w:bottom w:val="single" w:color="1A56A0" w:sz="2"/>
              <w:right w:val="single" w:color="1A56A0" w:sz="2"/>
            </w:tcBorders>
            <w:shd w:fill="DFF5E1" w:val="clear"/>
            <w:tcMar>
              <w:top w:type="dxa" w:w="120"/>
              <w:left w:type="dxa" w:w="180"/>
              <w:bottom w:type="dxa" w:w="120"/>
              <w:right w:type="dxa" w:w="180"/>
            </w:tcMar>
          </w:tcPr>
          <w:p>
            <w:pPr>
              <w:spacing w:after="80"/>
            </w:pPr>
            <w:r>
              <w:rPr>
                <w:rFonts w:ascii="Arial" w:cs="Arial" w:eastAsia="Arial" w:hAnsi="Arial"/>
                <w:b/>
                <w:bCs/>
                <w:color w:val="1A56A0"/>
                <w:sz w:val="22"/>
                <w:szCs w:val="22"/>
              </w:rPr>
              <w:t xml:space="preserve">Default Tax Regime</w:t>
            </w:r>
          </w:p>
          <w:p>
            <w:pPr>
              <w:spacing w:after="0"/>
            </w:pPr>
            <w:r>
              <w:rPr>
                <w:rFonts w:ascii="Arial" w:cs="Arial" w:eastAsia="Arial" w:hAnsi="Arial"/>
                <w:color w:val="333333"/>
                <w:sz w:val="22"/>
                <w:szCs w:val="22"/>
              </w:rPr>
              <w:t xml:space="preserve">The new tax regime continues as the default. Individuals earning above ₹12 lakh (or ₹12.75 lakh for salaried persons including the ₹75,000 standard deduction) are liable to pay tax under the new slab rates. Students must be fully versed in both regimes and the rules for opting out of the default.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1A56A0" w:sz="2"/>
              <w:left w:val="single" w:color="1A56A0" w:sz="2"/>
              <w:bottom w:val="single" w:color="1A56A0" w:sz="2"/>
              <w:right w:val="single" w:color="1A56A0" w:sz="2"/>
            </w:tcBorders>
            <w:shd w:fill="DFF5E1" w:val="clear"/>
            <w:tcMar>
              <w:top w:type="dxa" w:w="120"/>
              <w:left w:type="dxa" w:w="180"/>
              <w:bottom w:type="dxa" w:w="120"/>
              <w:right w:type="dxa" w:w="180"/>
            </w:tcMar>
          </w:tcPr>
          <w:p>
            <w:pPr>
              <w:spacing w:after="80"/>
            </w:pPr>
            <w:r>
              <w:rPr>
                <w:rFonts w:ascii="Arial" w:cs="Arial" w:eastAsia="Arial" w:hAnsi="Arial"/>
                <w:b/>
                <w:bCs/>
                <w:color w:val="1A56A0"/>
                <w:sz w:val="22"/>
                <w:szCs w:val="22"/>
              </w:rPr>
              <w:t xml:space="preserve">Finance Act 2025 Changes</w:t>
            </w:r>
          </w:p>
          <w:p>
            <w:pPr>
              <w:spacing w:after="0"/>
            </w:pPr>
            <w:r>
              <w:rPr>
                <w:rFonts w:ascii="Arial" w:cs="Arial" w:eastAsia="Arial" w:hAnsi="Arial"/>
                <w:color w:val="333333"/>
                <w:sz w:val="22"/>
                <w:szCs w:val="22"/>
              </w:rPr>
              <w:t xml:space="preserve">Amendments brought by the Finance Act, 2025 — such as changes to capital gains taxation, TDS provisions, and presumptive taxation — are fully applicable for May 2026. Revised threshold limits for TDS deductions and new compliance procedures are particularly exam-relevant.</w:t>
            </w:r>
          </w:p>
        </w:tc>
      </w:tr>
    </w:tbl>
    <w:p>
      <w:pPr>
        <w:spacing w:after="120"/>
      </w:pPr>
      <w:r>
        <w:t xml:space="preserve"/>
      </w:r>
    </w:p>
    <w:p>
      <w:pPr>
        <w:spacing w:before="200" w:after="80"/>
      </w:pPr>
      <w:r>
        <w:rPr>
          <w:rFonts w:ascii="Arial" w:cs="Arial" w:eastAsia="Arial" w:hAnsi="Arial"/>
          <w:b/>
          <w:bCs/>
          <w:color w:val="333333"/>
          <w:sz w:val="24"/>
          <w:szCs w:val="24"/>
        </w:rPr>
        <w:t xml:space="preserve">Section B — GST (Indirect Taxes)</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1A56A0" w:sz="2"/>
              <w:left w:val="single" w:color="1A56A0" w:sz="2"/>
              <w:bottom w:val="single" w:color="1A56A0" w:sz="2"/>
              <w:right w:val="single" w:color="1A56A0" w:sz="2"/>
            </w:tcBorders>
            <w:shd w:fill="FFF3E0" w:val="clear"/>
            <w:tcMar>
              <w:top w:type="dxa" w:w="120"/>
              <w:left w:type="dxa" w:w="180"/>
              <w:bottom w:type="dxa" w:w="120"/>
              <w:right w:type="dxa" w:w="180"/>
            </w:tcMar>
          </w:tcPr>
          <w:p>
            <w:pPr>
              <w:spacing w:after="80"/>
            </w:pPr>
            <w:r>
              <w:rPr>
                <w:rFonts w:ascii="Arial" w:cs="Arial" w:eastAsia="Arial" w:hAnsi="Arial"/>
                <w:b/>
                <w:bCs/>
                <w:color w:val="1A56A0"/>
                <w:sz w:val="22"/>
                <w:szCs w:val="22"/>
              </w:rPr>
              <w:t xml:space="preserve">Post-Sale Discounts &amp; Section 15</w:t>
            </w:r>
          </w:p>
          <w:p>
            <w:pPr>
              <w:spacing w:after="0"/>
            </w:pPr>
            <w:r>
              <w:rPr>
                <w:rFonts w:ascii="Arial" w:cs="Arial" w:eastAsia="Arial" w:hAnsi="Arial"/>
                <w:color w:val="333333"/>
                <w:sz w:val="22"/>
                <w:szCs w:val="22"/>
              </w:rPr>
              <w:t xml:space="preserve">Businesses no longer require a pre-existing agreement to offer post-sale discounts under GST. The amendment to Section 15 read with Section 34 simplifies the discount mechanism and is a commonly tested area.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1A56A0" w:sz="2"/>
              <w:left w:val="single" w:color="1A56A0" w:sz="2"/>
              <w:bottom w:val="single" w:color="1A56A0" w:sz="2"/>
              <w:right w:val="single" w:color="1A56A0" w:sz="2"/>
            </w:tcBorders>
            <w:shd w:fill="FFF3E0" w:val="clear"/>
            <w:tcMar>
              <w:top w:type="dxa" w:w="120"/>
              <w:left w:type="dxa" w:w="180"/>
              <w:bottom w:type="dxa" w:w="120"/>
              <w:right w:type="dxa" w:w="180"/>
            </w:tcMar>
          </w:tcPr>
          <w:p>
            <w:pPr>
              <w:spacing w:after="80"/>
            </w:pPr>
            <w:r>
              <w:rPr>
                <w:rFonts w:ascii="Arial" w:cs="Arial" w:eastAsia="Arial" w:hAnsi="Arial"/>
                <w:b/>
                <w:bCs/>
                <w:color w:val="1A56A0"/>
                <w:sz w:val="22"/>
                <w:szCs w:val="22"/>
              </w:rPr>
              <w:t xml:space="preserve">HSN Code Requirements</w:t>
            </w:r>
          </w:p>
          <w:p>
            <w:pPr>
              <w:spacing w:after="0"/>
            </w:pPr>
            <w:r>
              <w:rPr>
                <w:rFonts w:ascii="Arial" w:cs="Arial" w:eastAsia="Arial" w:hAnsi="Arial"/>
                <w:color w:val="333333"/>
                <w:sz w:val="22"/>
                <w:szCs w:val="22"/>
              </w:rPr>
              <w:t xml:space="preserve">Taxpayers with aggregate turnover up to ₹5 crore in the previous financial year are not required to mention the full HSN code digits in tax invoices issued to unregistered persons. Know the exact digit requirements by turnover slab.</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1A56A0" w:sz="2"/>
              <w:left w:val="single" w:color="1A56A0" w:sz="2"/>
              <w:bottom w:val="single" w:color="1A56A0" w:sz="2"/>
              <w:right w:val="single" w:color="1A56A0" w:sz="2"/>
            </w:tcBorders>
            <w:shd w:fill="FFF3E0" w:val="clear"/>
            <w:tcMar>
              <w:top w:type="dxa" w:w="120"/>
              <w:left w:type="dxa" w:w="180"/>
              <w:bottom w:type="dxa" w:w="120"/>
              <w:right w:type="dxa" w:w="180"/>
            </w:tcMar>
          </w:tcPr>
          <w:p>
            <w:pPr>
              <w:spacing w:after="80"/>
            </w:pPr>
            <w:r>
              <w:rPr>
                <w:rFonts w:ascii="Arial" w:cs="Arial" w:eastAsia="Arial" w:hAnsi="Arial"/>
                <w:b/>
                <w:bCs/>
                <w:color w:val="1A56A0"/>
                <w:sz w:val="22"/>
                <w:szCs w:val="22"/>
              </w:rPr>
              <w:t xml:space="preserve">Provisional Refunds — Extended Scope</w:t>
            </w:r>
          </w:p>
          <w:p>
            <w:pPr>
              <w:spacing w:after="0"/>
            </w:pPr>
            <w:r>
              <w:rPr>
                <w:rFonts w:ascii="Arial" w:cs="Arial" w:eastAsia="Arial" w:hAnsi="Arial"/>
                <w:color w:val="333333"/>
                <w:sz w:val="22"/>
                <w:szCs w:val="22"/>
              </w:rPr>
              <w:t xml:space="preserve">Provisional refunds are now extended to cover Inverted Duty Structure (IDS) claims in addition to export refunds. This is a conceptual amendment with practical significance for GST compliance.</w:t>
            </w:r>
          </w:p>
        </w:tc>
      </w:tr>
    </w:tbl>
    <w:p>
      <w:pPr>
        <w:spacing w:after="120"/>
      </w:pPr>
      <w:r>
        <w:t xml:space="preserve"/>
      </w:r>
    </w:p>
    <w:p>
      <w:pPr>
        <w:spacing w:before="200" w:after="80"/>
      </w:pPr>
      <w:r>
        <w:rPr>
          <w:rFonts w:ascii="Arial" w:cs="Arial" w:eastAsia="Arial" w:hAnsi="Arial"/>
          <w:b/>
          <w:bCs/>
          <w:color w:val="333333"/>
          <w:sz w:val="24"/>
          <w:szCs w:val="24"/>
        </w:rPr>
        <w:t xml:space="preserve">💡 Preparation Tip</w:t>
      </w:r>
    </w:p>
    <w:p>
      <w:pPr>
        <w:spacing w:after="140" w:line="320"/>
        <w:jc w:val="both"/>
      </w:pPr>
      <w:r>
        <w:rPr>
          <w:rFonts w:ascii="Arial" w:cs="Arial" w:eastAsia="Arial" w:hAnsi="Arial"/>
          <w:color w:val="222222"/>
          <w:sz w:val="22"/>
          <w:szCs w:val="22"/>
        </w:rPr>
        <w:t xml:space="preserve">For Taxation, split your revision time equally between Income Tax and GST. Use the ICAI Study Guidelines for GST (specifically issued for May 2026) to understand which provisions of the CGST Act and IGST Act (including Finance Act 2025 amendments up to October 31, 2025) are in scope. Practise numerical questions on tax computation under both regimes.</w:t>
      </w:r>
    </w:p>
    <w:p>
      <w:pPr>
        <w:spacing w:after="120"/>
      </w:pPr>
      <w:r>
        <w:t xml:space="preserve"/>
      </w:r>
    </w:p>
    <w:p>
      <w:pPr>
        <w:pStyle w:val="Heading2"/>
        <w:pBdr>
          <w:bottom w:val="single" w:color="1A56A0" w:sz="6" w:space="1"/>
        </w:pBdr>
        <w:spacing w:before="280" w:after="100"/>
      </w:pPr>
      <w:r>
        <w:rPr>
          <w:rFonts w:ascii="Arial" w:cs="Arial" w:eastAsia="Arial" w:hAnsi="Arial"/>
          <w:b/>
          <w:bCs/>
          <w:color w:val="1A56A0"/>
          <w:sz w:val="28"/>
          <w:szCs w:val="28"/>
        </w:rPr>
        <w:t xml:space="preserve">📙 Paper 6: Financial Management &amp; Strategic Management</w:t>
      </w:r>
    </w:p>
    <w:p>
      <w:pPr>
        <w:spacing w:after="140" w:line="320"/>
        <w:jc w:val="both"/>
      </w:pPr>
      <w:r>
        <w:rPr>
          <w:rFonts w:ascii="Arial" w:cs="Arial" w:eastAsia="Arial" w:hAnsi="Arial"/>
          <w:color w:val="222222"/>
          <w:sz w:val="22"/>
          <w:szCs w:val="22"/>
        </w:rPr>
        <w:t xml:space="preserve">This combined paper — split into Section A (Financial Management) and Section B (Strategic Management) — has seen moderate but meaningful updates for May 2026. Unlike Taxation and Corporate Laws, changes here tend to be conceptual and framework-oriented rather than legislative.</w:t>
      </w:r>
    </w:p>
    <w:p>
      <w:pPr>
        <w:spacing w:after="120"/>
      </w:pPr>
      <w:r>
        <w:t xml:space="preserve"/>
      </w:r>
    </w:p>
    <w:p>
      <w:pPr>
        <w:spacing w:before="200" w:after="80"/>
      </w:pPr>
      <w:r>
        <w:rPr>
          <w:rFonts w:ascii="Arial" w:cs="Arial" w:eastAsia="Arial" w:hAnsi="Arial"/>
          <w:b/>
          <w:bCs/>
          <w:color w:val="333333"/>
          <w:sz w:val="24"/>
          <w:szCs w:val="24"/>
        </w:rPr>
        <w:t xml:space="preserve">Section A — Financial Management</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1A56A0" w:sz="2"/>
              <w:left w:val="single" w:color="1A56A0" w:sz="2"/>
              <w:bottom w:val="single" w:color="1A56A0" w:sz="2"/>
              <w:right w:val="single" w:color="1A56A0" w:sz="2"/>
            </w:tcBorders>
            <w:shd w:fill="EDE7F6" w:val="clear"/>
            <w:tcMar>
              <w:top w:type="dxa" w:w="120"/>
              <w:left w:type="dxa" w:w="180"/>
              <w:bottom w:type="dxa" w:w="120"/>
              <w:right w:type="dxa" w:w="180"/>
            </w:tcMar>
          </w:tcPr>
          <w:p>
            <w:pPr>
              <w:spacing w:after="80"/>
            </w:pPr>
            <w:r>
              <w:rPr>
                <w:rFonts w:ascii="Arial" w:cs="Arial" w:eastAsia="Arial" w:hAnsi="Arial"/>
                <w:b/>
                <w:bCs/>
                <w:color w:val="1A56A0"/>
                <w:sz w:val="22"/>
                <w:szCs w:val="22"/>
              </w:rPr>
              <w:t xml:space="preserve">Updated Capital Budgeting Concepts</w:t>
            </w:r>
          </w:p>
          <w:p>
            <w:pPr>
              <w:spacing w:after="0"/>
            </w:pPr>
            <w:r>
              <w:rPr>
                <w:rFonts w:ascii="Arial" w:cs="Arial" w:eastAsia="Arial" w:hAnsi="Arial"/>
                <w:color w:val="333333"/>
                <w:sz w:val="22"/>
                <w:szCs w:val="22"/>
              </w:rPr>
              <w:t xml:space="preserve">The treatment of risk and uncertainty in capital budgeting decisions has been expanded. Students should be comfortable with Sensitivity Analysis, Scenario Analysis, and Simulation techniques, which are now more prominently featured in the revised study material.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1A56A0" w:sz="2"/>
              <w:left w:val="single" w:color="1A56A0" w:sz="2"/>
              <w:bottom w:val="single" w:color="1A56A0" w:sz="2"/>
              <w:right w:val="single" w:color="1A56A0" w:sz="2"/>
            </w:tcBorders>
            <w:shd w:fill="EDE7F6" w:val="clear"/>
            <w:tcMar>
              <w:top w:type="dxa" w:w="120"/>
              <w:left w:type="dxa" w:w="180"/>
              <w:bottom w:type="dxa" w:w="120"/>
              <w:right w:type="dxa" w:w="180"/>
            </w:tcMar>
          </w:tcPr>
          <w:p>
            <w:pPr>
              <w:spacing w:after="80"/>
            </w:pPr>
            <w:r>
              <w:rPr>
                <w:rFonts w:ascii="Arial" w:cs="Arial" w:eastAsia="Arial" w:hAnsi="Arial"/>
                <w:b/>
                <w:bCs/>
                <w:color w:val="1A56A0"/>
                <w:sz w:val="22"/>
                <w:szCs w:val="22"/>
              </w:rPr>
              <w:t xml:space="preserve">Working Capital Management</w:t>
            </w:r>
          </w:p>
          <w:p>
            <w:pPr>
              <w:spacing w:after="0"/>
            </w:pPr>
            <w:r>
              <w:rPr>
                <w:rFonts w:ascii="Arial" w:cs="Arial" w:eastAsia="Arial" w:hAnsi="Arial"/>
                <w:color w:val="333333"/>
                <w:sz w:val="22"/>
                <w:szCs w:val="22"/>
              </w:rPr>
              <w:t xml:space="preserve">The updated content includes a stronger emphasis on Cash Management models (Baumol Model, Miller-Orr Model) and their practical applications. Numerical problems in this area are expected to be more application-based.</w:t>
            </w:r>
          </w:p>
        </w:tc>
      </w:tr>
    </w:tbl>
    <w:p>
      <w:pPr>
        <w:spacing w:after="120"/>
      </w:pPr>
      <w:r>
        <w:t xml:space="preserve"/>
      </w:r>
    </w:p>
    <w:p>
      <w:pPr>
        <w:spacing w:before="200" w:after="80"/>
      </w:pPr>
      <w:r>
        <w:rPr>
          <w:rFonts w:ascii="Arial" w:cs="Arial" w:eastAsia="Arial" w:hAnsi="Arial"/>
          <w:b/>
          <w:bCs/>
          <w:color w:val="333333"/>
          <w:sz w:val="24"/>
          <w:szCs w:val="24"/>
        </w:rPr>
        <w:t xml:space="preserve">Section B — Strategic Management</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1A56A0" w:sz="2"/>
              <w:left w:val="single" w:color="1A56A0" w:sz="2"/>
              <w:bottom w:val="single" w:color="1A56A0" w:sz="2"/>
              <w:right w:val="single" w:color="1A56A0" w:sz="2"/>
            </w:tcBorders>
            <w:shd w:fill="EDE7F6" w:val="clear"/>
            <w:tcMar>
              <w:top w:type="dxa" w:w="120"/>
              <w:left w:type="dxa" w:w="180"/>
              <w:bottom w:type="dxa" w:w="120"/>
              <w:right w:type="dxa" w:w="180"/>
            </w:tcMar>
          </w:tcPr>
          <w:p>
            <w:pPr>
              <w:spacing w:after="80"/>
            </w:pPr>
            <w:r>
              <w:rPr>
                <w:rFonts w:ascii="Arial" w:cs="Arial" w:eastAsia="Arial" w:hAnsi="Arial"/>
                <w:b/>
                <w:bCs/>
                <w:color w:val="1A56A0"/>
                <w:sz w:val="22"/>
                <w:szCs w:val="22"/>
              </w:rPr>
              <w:t xml:space="preserve">Digital Business Strategy</w:t>
            </w:r>
          </w:p>
          <w:p>
            <w:pPr>
              <w:spacing w:after="0"/>
            </w:pPr>
            <w:r>
              <w:rPr>
                <w:rFonts w:ascii="Arial" w:cs="Arial" w:eastAsia="Arial" w:hAnsi="Arial"/>
                <w:color w:val="333333"/>
                <w:sz w:val="22"/>
                <w:szCs w:val="22"/>
              </w:rPr>
              <w:t xml:space="preserve">The updated syllabus integrates concepts around digital transformation, platform businesses, and the strategic implications of emerging technologies — making this section more contemporary and industry-aligned.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1A56A0" w:sz="2"/>
              <w:left w:val="single" w:color="1A56A0" w:sz="2"/>
              <w:bottom w:val="single" w:color="1A56A0" w:sz="2"/>
              <w:right w:val="single" w:color="1A56A0" w:sz="2"/>
            </w:tcBorders>
            <w:shd w:fill="EDE7F6" w:val="clear"/>
            <w:tcMar>
              <w:top w:type="dxa" w:w="120"/>
              <w:left w:type="dxa" w:w="180"/>
              <w:bottom w:type="dxa" w:w="120"/>
              <w:right w:type="dxa" w:w="180"/>
            </w:tcMar>
          </w:tcPr>
          <w:p>
            <w:pPr>
              <w:spacing w:after="80"/>
            </w:pPr>
            <w:r>
              <w:rPr>
                <w:rFonts w:ascii="Arial" w:cs="Arial" w:eastAsia="Arial" w:hAnsi="Arial"/>
                <w:b/>
                <w:bCs/>
                <w:color w:val="1A56A0"/>
                <w:sz w:val="22"/>
                <w:szCs w:val="22"/>
              </w:rPr>
              <w:t xml:space="preserve">Case-Study Approach</w:t>
            </w:r>
          </w:p>
          <w:p>
            <w:pPr>
              <w:spacing w:after="0"/>
            </w:pPr>
            <w:r>
              <w:rPr>
                <w:rFonts w:ascii="Arial" w:cs="Arial" w:eastAsia="Arial" w:hAnsi="Arial"/>
                <w:color w:val="333333"/>
                <w:sz w:val="22"/>
                <w:szCs w:val="22"/>
              </w:rPr>
              <w:t xml:space="preserve">ICAI's new scheme places a strong emphasis on case-study-based questions in Strategic Management. Students should practise applying frameworks like Porter's Five Forces, SWOT, and the BCG Matrix to real-world business scenarios rather than just learning definitions.</w:t>
            </w:r>
          </w:p>
        </w:tc>
      </w:tr>
    </w:tbl>
    <w:p>
      <w:pPr>
        <w:spacing w:after="120"/>
      </w:pPr>
      <w:r>
        <w:t xml:space="preserve"/>
      </w:r>
    </w:p>
    <w:p>
      <w:pPr>
        <w:spacing w:before="200" w:after="80"/>
      </w:pPr>
      <w:r>
        <w:rPr>
          <w:rFonts w:ascii="Arial" w:cs="Arial" w:eastAsia="Arial" w:hAnsi="Arial"/>
          <w:b/>
          <w:bCs/>
          <w:color w:val="333333"/>
          <w:sz w:val="24"/>
          <w:szCs w:val="24"/>
        </w:rPr>
        <w:t xml:space="preserve">💡 Preparation Tip</w:t>
      </w:r>
    </w:p>
    <w:p>
      <w:pPr>
        <w:spacing w:after="140" w:line="320"/>
        <w:jc w:val="both"/>
      </w:pPr>
      <w:r>
        <w:rPr>
          <w:rFonts w:ascii="Arial" w:cs="Arial" w:eastAsia="Arial" w:hAnsi="Arial"/>
          <w:color w:val="222222"/>
          <w:sz w:val="22"/>
          <w:szCs w:val="22"/>
        </w:rPr>
        <w:t xml:space="preserve">For FM-SM, balance numerical practice (FM) with conceptual clarity (SM). Attempt ICAI Mock Test Papers under timed conditions — Section B in particular rewards structured, framework-based answers over lengthy theoretical explanations.</w:t>
      </w:r>
    </w:p>
    <w:p>
      <w:pPr>
        <w:spacing w:after="120"/>
      </w:pPr>
      <w:r>
        <w:t xml:space="preserve"/>
      </w:r>
    </w:p>
    <w:p>
      <w:pPr>
        <w:pStyle w:val="Heading2"/>
        <w:pBdr>
          <w:bottom w:val="single" w:color="1A56A0" w:sz="6" w:space="1"/>
        </w:pBdr>
        <w:spacing w:before="280" w:after="100"/>
      </w:pPr>
      <w:r>
        <w:rPr>
          <w:rFonts w:ascii="Arial" w:cs="Arial" w:eastAsia="Arial" w:hAnsi="Arial"/>
          <w:b/>
          <w:bCs/>
          <w:color w:val="1A56A0"/>
          <w:sz w:val="28"/>
          <w:szCs w:val="28"/>
        </w:rPr>
        <w:t xml:space="preserve">📋 Quick Reference: Amendment Summary Table</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1A56A0" w:val="clear"/>
            <w:tcMar>
              <w:top w:type="dxa" w:w="80"/>
              <w:left w:type="dxa" w:w="120"/>
              <w:bottom w:type="dxa" w:w="80"/>
              <w:right w:type="dxa" w:w="120"/>
            </w:tcMar>
          </w:tcPr>
          <w:p>
            <w:r>
              <w:rPr>
                <w:rFonts w:ascii="Arial" w:cs="Arial" w:eastAsia="Arial" w:hAnsi="Arial"/>
                <w:b/>
                <w:bCs/>
                <w:color w:val="FFFFFF"/>
                <w:sz w:val="20"/>
                <w:szCs w:val="20"/>
              </w:rPr>
              <w:t xml:space="preserve">Subject / Paper</w:t>
            </w:r>
          </w:p>
        </w:tc>
        <w:tc>
          <w:tcPr>
            <w:tcW w:type="dxa" w:w="3120"/>
            <w:tcBorders>
              <w:top w:val="single" w:color="CCCCCC" w:sz="1"/>
              <w:left w:val="single" w:color="CCCCCC" w:sz="1"/>
              <w:bottom w:val="single" w:color="CCCCCC" w:sz="1"/>
              <w:right w:val="single" w:color="CCCCCC" w:sz="1"/>
            </w:tcBorders>
            <w:shd w:fill="1A56A0" w:val="clear"/>
            <w:tcMar>
              <w:top w:type="dxa" w:w="80"/>
              <w:left w:type="dxa" w:w="120"/>
              <w:bottom w:type="dxa" w:w="80"/>
              <w:right w:type="dxa" w:w="120"/>
            </w:tcMar>
          </w:tcPr>
          <w:p>
            <w:r>
              <w:rPr>
                <w:rFonts w:ascii="Arial" w:cs="Arial" w:eastAsia="Arial" w:hAnsi="Arial"/>
                <w:b/>
                <w:bCs/>
                <w:color w:val="FFFFFF"/>
                <w:sz w:val="20"/>
                <w:szCs w:val="20"/>
              </w:rPr>
              <w:t xml:space="preserve">Key Change Area</w:t>
            </w:r>
          </w:p>
        </w:tc>
        <w:tc>
          <w:tcPr>
            <w:tcW w:type="dxa" w:w="3120"/>
            <w:tcBorders>
              <w:top w:val="single" w:color="CCCCCC" w:sz="1"/>
              <w:left w:val="single" w:color="CCCCCC" w:sz="1"/>
              <w:bottom w:val="single" w:color="CCCCCC" w:sz="1"/>
              <w:right w:val="single" w:color="CCCCCC" w:sz="1"/>
            </w:tcBorders>
            <w:shd w:fill="1A56A0" w:val="clear"/>
            <w:tcMar>
              <w:top w:type="dxa" w:w="80"/>
              <w:left w:type="dxa" w:w="120"/>
              <w:bottom w:type="dxa" w:w="80"/>
              <w:right w:type="dxa" w:w="120"/>
            </w:tcMar>
          </w:tcPr>
          <w:p>
            <w:r>
              <w:rPr>
                <w:rFonts w:ascii="Arial" w:cs="Arial" w:eastAsia="Arial" w:hAnsi="Arial"/>
                <w:b/>
                <w:bCs/>
                <w:color w:val="FFFFFF"/>
                <w:sz w:val="20"/>
                <w:szCs w:val="20"/>
              </w:rPr>
              <w:t xml:space="preserve">Exam Date (May 2026)</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Corporate &amp; Other Laws (P2)</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Small Company limits, LLP rules, Producer Companies</w:t>
            </w:r>
          </w:p>
        </w:tc>
        <w:tc>
          <w:tcPr>
            <w:tcW w:type="dxa" w:w="312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sz w:val="20"/>
                <w:szCs w:val="20"/>
              </w:rPr>
              <w:t xml:space="preserve">5th May 2026</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Income Tax — P3A</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New IT Act 2025, default regime, Finance Act changes</w:t>
            </w:r>
          </w:p>
        </w:tc>
        <w:tc>
          <w:tcPr>
            <w:tcW w:type="dxa" w:w="312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sz w:val="20"/>
                <w:szCs w:val="20"/>
              </w:rPr>
              <w:t xml:space="preserve">7th May 2026</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GST — P3B</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Post-sale discounts, HSN rules, provisional refunds</w:t>
            </w:r>
          </w:p>
        </w:tc>
        <w:tc>
          <w:tcPr>
            <w:tcW w:type="dxa" w:w="312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sz w:val="20"/>
                <w:szCs w:val="20"/>
              </w:rPr>
              <w:t xml:space="preserve">7th May 2026</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FM &amp; SM (P6)</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Capital budgeting, working capital, digital strategy</w:t>
            </w:r>
          </w:p>
        </w:tc>
        <w:tc>
          <w:tcPr>
            <w:tcW w:type="dxa" w:w="312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b w:val="false"/>
                <w:bCs w:val="false"/>
                <w:sz w:val="20"/>
                <w:szCs w:val="20"/>
              </w:rPr>
              <w:t xml:space="preserve">13th May 2026</w:t>
            </w:r>
          </w:p>
        </w:tc>
      </w:tr>
    </w:tbl>
    <w:p>
      <w:pPr>
        <w:spacing w:after="120"/>
      </w:pPr>
      <w:r>
        <w:t xml:space="preserve"/>
      </w:r>
    </w:p>
    <w:p>
      <w:pPr>
        <w:spacing w:after="120"/>
      </w:pPr>
      <w:r>
        <w:t xml:space="preserve"/>
      </w:r>
    </w:p>
    <w:p>
      <w:pPr>
        <w:pStyle w:val="Heading2"/>
        <w:pBdr>
          <w:bottom w:val="single" w:color="1A56A0" w:sz="6" w:space="1"/>
        </w:pBdr>
        <w:spacing w:before="280" w:after="100"/>
      </w:pPr>
      <w:r>
        <w:rPr>
          <w:rFonts w:ascii="Arial" w:cs="Arial" w:eastAsia="Arial" w:hAnsi="Arial"/>
          <w:b/>
          <w:bCs/>
          <w:color w:val="1A56A0"/>
          <w:sz w:val="28"/>
          <w:szCs w:val="28"/>
        </w:rPr>
        <w:t xml:space="preserve">🎯 How to Tackle Amendments Effectively</w:t>
      </w:r>
    </w:p>
    <w:p>
      <w:pPr>
        <w:spacing w:after="140" w:line="320"/>
        <w:jc w:val="both"/>
      </w:pPr>
      <w:r>
        <w:rPr>
          <w:rFonts w:ascii="Arial" w:cs="Arial" w:eastAsia="Arial" w:hAnsi="Arial"/>
          <w:color w:val="222222"/>
          <w:sz w:val="22"/>
          <w:szCs w:val="22"/>
        </w:rPr>
        <w:t xml:space="preserve">Knowing that amendments exist is not the same as being exam-ready for them. Here is a structured approach that works:</w:t>
      </w:r>
    </w:p>
    <w:p>
      <w:pPr>
        <w:spacing w:after="120"/>
      </w:pPr>
      <w:r>
        <w:t xml:space="preserve"/>
      </w:r>
    </w:p>
    <w:p>
      <w:pPr>
        <w:pStyle w:val="ListParagraph"/>
        <w:numPr>
          <w:ilvl w:val="0"/>
          <w:numId w:val="2"/>
        </w:numPr>
        <w:spacing w:after="80" w:line="300"/>
      </w:pPr>
      <w:r>
        <w:rPr>
          <w:rFonts w:ascii="Arial" w:cs="Arial" w:eastAsia="Arial" w:hAnsi="Arial"/>
          <w:b w:val="false"/>
          <w:bCs w:val="false"/>
          <w:color w:val="222222"/>
          <w:sz w:val="22"/>
          <w:szCs w:val="22"/>
        </w:rPr>
        <w:t xml:space="preserve">Start with ICAI's official RTPs (Revision Test Papers) for May 2026 — they are the most reliable indicator of which amendments will be tested and how.</w:t>
      </w:r>
    </w:p>
    <w:p>
      <w:pPr>
        <w:pStyle w:val="ListParagraph"/>
        <w:numPr>
          <w:ilvl w:val="0"/>
          <w:numId w:val="2"/>
        </w:numPr>
        <w:spacing w:after="80" w:line="300"/>
      </w:pPr>
      <w:r>
        <w:rPr>
          <w:rFonts w:ascii="Arial" w:cs="Arial" w:eastAsia="Arial" w:hAnsi="Arial"/>
          <w:b w:val="false"/>
          <w:bCs w:val="false"/>
          <w:color w:val="222222"/>
          <w:sz w:val="22"/>
          <w:szCs w:val="22"/>
        </w:rPr>
        <w:t xml:space="preserve">Download the amendment booklets from the ICAI Board of Studies (BOS) portal. Never rely solely on coaching institute summaries.</w:t>
      </w:r>
    </w:p>
    <w:p>
      <w:pPr>
        <w:pStyle w:val="ListParagraph"/>
        <w:numPr>
          <w:ilvl w:val="0"/>
          <w:numId w:val="2"/>
        </w:numPr>
        <w:spacing w:after="80" w:line="300"/>
      </w:pPr>
      <w:r>
        <w:rPr>
          <w:rFonts w:ascii="Arial" w:cs="Arial" w:eastAsia="Arial" w:hAnsi="Arial"/>
          <w:b w:val="false"/>
          <w:bCs w:val="false"/>
          <w:color w:val="222222"/>
          <w:sz w:val="22"/>
          <w:szCs w:val="22"/>
        </w:rPr>
        <w:t xml:space="preserve">For each amendment, understand the before-and-after: what was the old provision, what changed, and why. This conceptual grounding helps in answering application-based questions.</w:t>
      </w:r>
    </w:p>
    <w:p>
      <w:pPr>
        <w:pStyle w:val="ListParagraph"/>
        <w:numPr>
          <w:ilvl w:val="0"/>
          <w:numId w:val="2"/>
        </w:numPr>
        <w:spacing w:after="80" w:line="300"/>
      </w:pPr>
      <w:r>
        <w:rPr>
          <w:rFonts w:ascii="Arial" w:cs="Arial" w:eastAsia="Arial" w:hAnsi="Arial"/>
          <w:b w:val="false"/>
          <w:bCs w:val="false"/>
          <w:color w:val="222222"/>
          <w:sz w:val="22"/>
          <w:szCs w:val="22"/>
        </w:rPr>
        <w:t xml:space="preserve">Solve the MTPs (Mock Test Papers) for all three subjects under exam conditions. Many amendment-based questions appear directly or in modified form.</w:t>
      </w:r>
    </w:p>
    <w:p>
      <w:pPr>
        <w:pStyle w:val="ListParagraph"/>
        <w:numPr>
          <w:ilvl w:val="0"/>
          <w:numId w:val="2"/>
        </w:numPr>
        <w:spacing w:after="80" w:line="300"/>
      </w:pPr>
      <w:r>
        <w:rPr>
          <w:rFonts w:ascii="Arial" w:cs="Arial" w:eastAsia="Arial" w:hAnsi="Arial"/>
          <w:b w:val="false"/>
          <w:bCs w:val="false"/>
          <w:color w:val="222222"/>
          <w:sz w:val="22"/>
          <w:szCs w:val="22"/>
        </w:rPr>
        <w:t xml:space="preserve">In the final 2–3 weeks, dedicate at least 30 minutes daily to a quick revision of amendment highlights — a one-page summary per subject works well.</w:t>
      </w:r>
    </w:p>
    <w:p>
      <w:pPr>
        <w:spacing w:after="120"/>
      </w:pPr>
      <w:r>
        <w:t xml:space="preserve"/>
      </w:r>
    </w:p>
    <w:p>
      <w:pPr>
        <w:pBdr>
          <w:top w:val="single" w:color="1A56A0" w:sz="8" w:space="1"/>
        </w:pBdr>
        <w:spacing w:before="240" w:after="120"/>
      </w:pPr>
      <w:r>
        <w:t xml:space="preserve"/>
      </w:r>
    </w:p>
    <w:p>
      <w:pPr>
        <w:spacing w:after="120"/>
      </w:pPr>
      <w:r>
        <w:rPr>
          <w:rFonts w:ascii="Arial" w:cs="Arial" w:eastAsia="Arial" w:hAnsi="Arial"/>
          <w:b/>
          <w:bCs/>
          <w:color w:val="1A56A0"/>
          <w:sz w:val="26"/>
          <w:szCs w:val="26"/>
        </w:rPr>
        <w:t xml:space="preserve">Final Word</w:t>
      </w:r>
    </w:p>
    <w:p>
      <w:pPr>
        <w:spacing w:after="140" w:line="320"/>
        <w:jc w:val="both"/>
      </w:pPr>
      <w:r>
        <w:rPr>
          <w:rFonts w:ascii="Arial" w:cs="Arial" w:eastAsia="Arial" w:hAnsi="Arial"/>
          <w:color w:val="222222"/>
          <w:sz w:val="22"/>
          <w:szCs w:val="22"/>
        </w:rPr>
        <w:t xml:space="preserve">The CA Intermediate May 2026 examinations reward students who combine conceptual clarity with up-to-date knowledge of statutory changes. Corporate &amp; Other Laws, Taxation, and Financial Management &amp; Strategic Management are the three papers demanding the most careful amendment-tracking this season. Approach them systematically — not with panic, but with a well-structured revision plan anchored in official ICAI resources.</w:t>
      </w:r>
    </w:p>
    <w:p>
      <w:pPr>
        <w:spacing w:after="140" w:line="320"/>
        <w:jc w:val="both"/>
      </w:pPr>
      <w:r>
        <w:rPr>
          <w:rFonts w:ascii="Arial" w:cs="Arial" w:eastAsia="Arial" w:hAnsi="Arial"/>
          <w:color w:val="222222"/>
          <w:sz w:val="22"/>
          <w:szCs w:val="22"/>
        </w:rPr>
        <w:t xml:space="preserve">Exams begin May 3, 2026. You still have time to cover these updates thoroughly. Start today.</w:t>
      </w:r>
    </w:p>
    <w:p>
      <w:pPr>
        <w:spacing w:after="120"/>
      </w:pPr>
      <w:r>
        <w:t xml:space="preserve"/>
      </w:r>
    </w:p>
    <w:p>
      <w:pPr>
        <w:spacing w:before="120" w:after="120"/>
        <w:jc w:val="center"/>
      </w:pPr>
      <w:r>
        <w:rPr>
          <w:rFonts w:ascii="Arial" w:cs="Arial" w:eastAsia="Arial" w:hAnsi="Arial"/>
          <w:b/>
          <w:bCs/>
          <w:color w:val="1A56A0"/>
          <w:sz w:val="24"/>
          <w:szCs w:val="24"/>
        </w:rPr>
        <w:t xml:space="preserve">All the best for May 2026! 💪</w:t>
      </w:r>
    </w:p>
    <w:p>
      <w:pPr>
        <w:jc w:val="center"/>
      </w:pPr>
      <w:r>
        <w:rPr>
          <w:rFonts w:ascii="Arial" w:cs="Arial" w:eastAsia="Arial" w:hAnsi="Arial"/>
          <w:i/>
          <w:iCs/>
          <w:color w:val="888888"/>
          <w:sz w:val="18"/>
          <w:szCs w:val="18"/>
        </w:rPr>
        <w:t xml:space="preserve">— Published on March 23, 2026 | CA Exam Insights Blog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A56A0"/>
      <w:sz w:val="36"/>
      <w:szCs w:val="36"/>
    </w:rPr>
  </w:style>
  <w:style w:type="paragraph" w:styleId="Heading2">
    <w:name w:val="Heading 2"/>
    <w:basedOn w:val="Normal"/>
    <w:next w:val="Normal"/>
    <w:qFormat/>
    <w:pPr>
      <w:spacing w:before="280" w:after="100"/>
      <w:outlineLvl w:val="1"/>
    </w:pPr>
    <w:rPr>
      <w:rFonts w:ascii="Arial" w:cs="Arial" w:eastAsia="Arial" w:hAnsi="Arial"/>
      <w:b/>
      <w:bCs/>
      <w:color w:val="1A56A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2026-03-23T15:04:18.932Z</dcterms:created>
  <dcterms:modified xsi:type="dcterms:W3CDTF">2026-03-23T15:04:18.932Z</dcterms:modified>
</cp:coreProperties>
</file>

<file path=docProps/custom.xml><?xml version="1.0" encoding="utf-8"?>
<Properties xmlns="http://schemas.openxmlformats.org/officeDocument/2006/custom-properties" xmlns:vt="http://schemas.openxmlformats.org/officeDocument/2006/docPropsVTypes"/>
</file>